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02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  <w:t>马刀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color w:val="000000"/>
          <w:szCs w:val="21"/>
        </w:rPr>
      </w:pPr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Madao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SOLENIS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 CONCHA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本品为竹蛏科动物长竹蛏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szCs w:val="24"/>
        </w:rPr>
        <w:t xml:space="preserve">Solen strictus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Gould、大竹蛏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szCs w:val="24"/>
        </w:rPr>
        <w:t xml:space="preserve">Solen grandis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Dunker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的贝壳。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取壳，洗净，干燥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zh-CN"/>
        </w:rPr>
        <w:t>【性状】长竹蛏</w:t>
      </w: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双壳合抱呈扁圆柱</w:t>
      </w:r>
      <w:r>
        <w:rPr>
          <w:rFonts w:ascii="Times New Roman" w:hAnsi="Times New Roman" w:eastAsia="宋体" w:cs="Times New Roman"/>
          <w:sz w:val="24"/>
          <w:szCs w:val="24"/>
        </w:rPr>
        <w:t>状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壳长为壳高的6～7倍，长6～7cm，宽约1cm，前缘斜截形，后缘圆，背、腹缘近平行。外表面呈灰黄色至浅黄棕色，生长线明显，呈弧形。内表面白色或淡黄色。铰合部小，有主齿1枚。</w:t>
      </w:r>
      <w:r>
        <w:rPr>
          <w:rFonts w:ascii="Times New Roman" w:hAnsi="Times New Roman" w:eastAsia="宋体" w:cs="Times New Roman"/>
          <w:sz w:val="24"/>
          <w:szCs w:val="24"/>
        </w:rPr>
        <w:t>质薄脆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ascii="Times New Roman" w:hAnsi="Times New Roman" w:eastAsia="宋体" w:cs="Times New Roman"/>
          <w:sz w:val="24"/>
          <w:szCs w:val="24"/>
        </w:rPr>
        <w:t>气微腥，味微咸。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zh-CN"/>
        </w:rPr>
        <w:t>大竹蛏</w:t>
      </w: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宋体" w:cs="Times New Roman"/>
          <w:sz w:val="24"/>
          <w:szCs w:val="24"/>
        </w:rPr>
        <w:t>壳长为壳高的4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ascii="Times New Roman" w:hAnsi="Times New Roman" w:eastAsia="宋体" w:cs="Times New Roman"/>
          <w:sz w:val="24"/>
          <w:szCs w:val="24"/>
        </w:rPr>
        <w:t>5倍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长5～7cm，宽约2cm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外表面呈黄褐色，</w:t>
      </w:r>
      <w:r>
        <w:rPr>
          <w:rFonts w:hint="eastAsia" w:ascii="Times New Roman" w:hAnsi="Times New Roman" w:eastAsia="宋体" w:cs="Times New Roman"/>
          <w:sz w:val="24"/>
          <w:szCs w:val="24"/>
        </w:rPr>
        <w:t>内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表</w:t>
      </w:r>
      <w:r>
        <w:rPr>
          <w:rFonts w:hint="eastAsia" w:ascii="Times New Roman" w:hAnsi="Times New Roman" w:eastAsia="宋体" w:cs="Times New Roman"/>
          <w:sz w:val="24"/>
          <w:szCs w:val="24"/>
        </w:rPr>
        <w:t>面白色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两面均可见淡红色斑纹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zh-CN"/>
        </w:rPr>
        <w:t>【鉴别】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粉末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呈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灰白色。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珍珠层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呈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不规则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碎块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，较大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者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呈条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状或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片状，表面可见细小条纹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或颗粒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棱柱层少见，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黄棕色，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断面观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呈棱柱状，断端平截，有的一端渐尖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zh-CN"/>
        </w:rPr>
        <w:t>【含量测定】</w:t>
      </w:r>
      <w:r>
        <w:rPr>
          <w:rFonts w:ascii="Times New Roman" w:hAnsi="Times New Roman" w:eastAsia="宋体" w:cs="Times New Roman"/>
          <w:color w:val="000000"/>
          <w:sz w:val="24"/>
        </w:rPr>
        <w:t>取本品细粉约0.1g，精密称定，置锥形瓶中，加稀盐酸3m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l</w:t>
      </w:r>
      <w:r>
        <w:rPr>
          <w:rFonts w:ascii="Times New Roman" w:hAnsi="Times New Roman" w:eastAsia="宋体" w:cs="Times New Roman"/>
          <w:color w:val="000000"/>
          <w:sz w:val="24"/>
        </w:rPr>
        <w:t>，加热至微沸使溶解，加水100m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l</w:t>
      </w:r>
      <w:r>
        <w:rPr>
          <w:rFonts w:ascii="Times New Roman" w:hAnsi="Times New Roman" w:eastAsia="宋体" w:cs="Times New Roman"/>
          <w:color w:val="000000"/>
          <w:sz w:val="24"/>
        </w:rPr>
        <w:t>与甲基红指示液1滴，滴加</w:t>
      </w:r>
      <w:r>
        <w:rPr>
          <w:rFonts w:hint="eastAsia" w:ascii="Times New Roman" w:hAnsi="Times New Roman" w:eastAsia="宋体" w:cs="Times New Roman"/>
          <w:color w:val="000000"/>
          <w:sz w:val="24"/>
        </w:rPr>
        <w:t>10%</w:t>
      </w:r>
      <w:r>
        <w:rPr>
          <w:rFonts w:ascii="Times New Roman" w:hAnsi="Times New Roman" w:eastAsia="宋体" w:cs="Times New Roman"/>
          <w:color w:val="000000"/>
          <w:sz w:val="24"/>
        </w:rPr>
        <w:t>氢氧化</w:t>
      </w:r>
      <w:r>
        <w:rPr>
          <w:rFonts w:hint="eastAsia" w:ascii="Times New Roman" w:hAnsi="Times New Roman" w:eastAsia="宋体" w:cs="Times New Roman"/>
          <w:color w:val="000000"/>
          <w:sz w:val="24"/>
        </w:rPr>
        <w:t>钠</w:t>
      </w:r>
      <w:r>
        <w:rPr>
          <w:rFonts w:ascii="Times New Roman" w:hAnsi="Times New Roman" w:eastAsia="宋体" w:cs="Times New Roman"/>
          <w:color w:val="000000"/>
          <w:sz w:val="24"/>
        </w:rPr>
        <w:t>试液至显黄色，继续多加10m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l</w:t>
      </w:r>
      <w:r>
        <w:rPr>
          <w:rFonts w:ascii="Times New Roman" w:hAnsi="Times New Roman" w:eastAsia="宋体" w:cs="Times New Roman"/>
          <w:color w:val="000000"/>
          <w:sz w:val="24"/>
        </w:rPr>
        <w:t>，再加钙黄绿素指示剂少量，用乙二胺四醋酸二钠滴定液（0.05mol/L）滴定至溶液黄绿色荧光消失而显橙色。每1m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l</w:t>
      </w:r>
      <w:r>
        <w:rPr>
          <w:rFonts w:ascii="Times New Roman" w:hAnsi="Times New Roman" w:eastAsia="宋体" w:cs="Times New Roman"/>
          <w:color w:val="000000"/>
          <w:sz w:val="24"/>
        </w:rPr>
        <w:t>乙二胺四醋酸二钠滴定液（0.05mol/L）相当于5.004mg的碳酸钙（CaCO</w:t>
      </w:r>
      <w:r>
        <w:rPr>
          <w:rFonts w:ascii="Times New Roman" w:hAnsi="Times New Roman" w:eastAsia="宋体" w:cs="Times New Roman"/>
          <w:color w:val="000000"/>
          <w:sz w:val="24"/>
          <w:vertAlign w:val="subscript"/>
        </w:rPr>
        <w:t>3</w:t>
      </w:r>
      <w:r>
        <w:rPr>
          <w:rFonts w:ascii="Times New Roman" w:hAnsi="Times New Roman" w:eastAsia="宋体" w:cs="Times New Roman"/>
          <w:color w:val="000000"/>
          <w:sz w:val="24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本品含碳酸钙（CaCO</w:t>
      </w:r>
      <w:r>
        <w:rPr>
          <w:rFonts w:ascii="Times New Roman" w:hAnsi="Times New Roman" w:eastAsia="宋体" w:cs="Times New Roman"/>
          <w:color w:val="000000"/>
          <w:sz w:val="24"/>
          <w:vertAlign w:val="subscript"/>
        </w:rPr>
        <w:t>3</w:t>
      </w:r>
      <w:r>
        <w:rPr>
          <w:rFonts w:ascii="Times New Roman" w:hAnsi="Times New Roman" w:eastAsia="宋体" w:cs="Times New Roman"/>
          <w:color w:val="000000"/>
          <w:sz w:val="24"/>
        </w:rPr>
        <w:t>）不得少于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90.0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%</w:t>
      </w:r>
      <w:r>
        <w:rPr>
          <w:rFonts w:ascii="Times New Roman" w:hAnsi="Times New Roman" w:eastAsia="宋体" w:cs="Times New Roman"/>
          <w:color w:val="000000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黑体" w:hAnsi="黑体" w:eastAsia="黑体" w:cs="黑体"/>
          <w:b w:val="0"/>
          <w:bCs/>
          <w:kern w:val="0"/>
          <w:sz w:val="24"/>
          <w:szCs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洗净，干燥，碾碎。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bCs/>
          <w:color w:val="000000"/>
          <w:sz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【性味与归经】</w:t>
      </w:r>
      <w:r>
        <w:rPr>
          <w:rFonts w:ascii="Times New Roman" w:hAnsi="Times New Roman" w:eastAsia="宋体" w:cs="Times New Roman"/>
          <w:bCs/>
          <w:color w:val="000000"/>
          <w:sz w:val="24"/>
        </w:rPr>
        <w:t>咸，凉。归肝、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lang w:val="en-US" w:eastAsia="zh-CN"/>
        </w:rPr>
        <w:t>胃</w:t>
      </w:r>
      <w:r>
        <w:rPr>
          <w:rFonts w:ascii="Times New Roman" w:hAnsi="Times New Roman" w:eastAsia="宋体" w:cs="Times New Roman"/>
          <w:bCs/>
          <w:color w:val="000000"/>
          <w:sz w:val="24"/>
        </w:rPr>
        <w:t>、肾经。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</w:t>
      </w: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en-US" w:eastAsia="zh-CN"/>
        </w:rPr>
        <w:t>功能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与主治】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化痰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散结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清热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通淋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收涩止带，制酸止痛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。用于瘿瘤瘰疬，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痰饮眩晕，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热淋涩痛，带下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胃痛吞酸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15～30</w:t>
      </w:r>
      <w:r>
        <w:rPr>
          <w:rFonts w:ascii="Times New Roman" w:hAnsi="Times New Roman" w:eastAsia="宋体" w:cs="Times New Roman"/>
          <w:color w:val="000000"/>
          <w:sz w:val="24"/>
        </w:rPr>
        <w:t>g。外用适量，研末调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涂</w:t>
      </w:r>
      <w:r>
        <w:rPr>
          <w:rFonts w:ascii="Times New Roman" w:hAnsi="Times New Roman" w:eastAsia="宋体" w:cs="Times New Roman"/>
          <w:color w:val="000000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zh-CN"/>
        </w:rPr>
        <w:t>【贮藏】</w:t>
      </w:r>
      <w:r>
        <w:rPr>
          <w:rFonts w:ascii="Times New Roman" w:hAnsi="Times New Roman" w:eastAsia="宋体" w:cs="Times New Roman"/>
          <w:color w:val="000000"/>
          <w:sz w:val="24"/>
        </w:rPr>
        <w:t>置干燥处。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AEC"/>
    <w:rsid w:val="00152810"/>
    <w:rsid w:val="001B7289"/>
    <w:rsid w:val="0020343E"/>
    <w:rsid w:val="002570F6"/>
    <w:rsid w:val="00264498"/>
    <w:rsid w:val="0031377D"/>
    <w:rsid w:val="00317438"/>
    <w:rsid w:val="00357B69"/>
    <w:rsid w:val="00472AEC"/>
    <w:rsid w:val="004E44CB"/>
    <w:rsid w:val="00586E8C"/>
    <w:rsid w:val="005B49D3"/>
    <w:rsid w:val="005C7A30"/>
    <w:rsid w:val="00603486"/>
    <w:rsid w:val="0073223E"/>
    <w:rsid w:val="007B657A"/>
    <w:rsid w:val="007C2AD2"/>
    <w:rsid w:val="00821CCD"/>
    <w:rsid w:val="00871C68"/>
    <w:rsid w:val="0090432A"/>
    <w:rsid w:val="009516DC"/>
    <w:rsid w:val="00960D9C"/>
    <w:rsid w:val="009E44F9"/>
    <w:rsid w:val="00B363BE"/>
    <w:rsid w:val="00D153AA"/>
    <w:rsid w:val="00DD07C6"/>
    <w:rsid w:val="00E6340B"/>
    <w:rsid w:val="00E920ED"/>
    <w:rsid w:val="0BB9080B"/>
    <w:rsid w:val="1C05738A"/>
    <w:rsid w:val="341B518C"/>
    <w:rsid w:val="3B6D2DDB"/>
    <w:rsid w:val="4754480D"/>
    <w:rsid w:val="56FB2042"/>
    <w:rsid w:val="5E842465"/>
    <w:rsid w:val="6AFD7C0E"/>
    <w:rsid w:val="6FEF0B05"/>
    <w:rsid w:val="760922F3"/>
    <w:rsid w:val="763F7579"/>
    <w:rsid w:val="7D9C31E1"/>
    <w:rsid w:val="F9EEC162"/>
    <w:rsid w:val="FBEF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597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597" w:themeColor="accent1" w:themeShade="BF"/>
      <w:sz w:val="24"/>
      <w:szCs w:val="24"/>
      <w14:ligatures w14:val="standardContextual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597" w:themeColor="accent1" w:themeShade="BF"/>
      <w:sz w:val="22"/>
      <w:szCs w:val="24"/>
      <w14:ligatures w14:val="standardContextual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1"/>
    <w:unhideWhenUsed/>
    <w:qFormat/>
    <w:uiPriority w:val="99"/>
    <w:pPr>
      <w:jc w:val="left"/>
    </w:pPr>
  </w:style>
  <w:style w:type="paragraph" w:styleId="12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paragraph" w:styleId="13">
    <w:name w:val="head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paragraph" w:styleId="14">
    <w:name w:val="Subtitle"/>
    <w:basedOn w:val="1"/>
    <w:next w:val="1"/>
    <w:link w:val="31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5">
    <w:name w:val="HTML Preformatted"/>
    <w:basedOn w:val="1"/>
    <w:link w:val="43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paragraph" w:styleId="16">
    <w:name w:val="Title"/>
    <w:basedOn w:val="1"/>
    <w:next w:val="1"/>
    <w:link w:val="30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paragraph" w:styleId="17">
    <w:name w:val="annotation subject"/>
    <w:basedOn w:val="11"/>
    <w:next w:val="11"/>
    <w:link w:val="42"/>
    <w:semiHidden/>
    <w:unhideWhenUsed/>
    <w:qFormat/>
    <w:uiPriority w:val="99"/>
    <w:rPr>
      <w:b/>
      <w:bCs/>
    </w:rPr>
  </w:style>
  <w:style w:type="character" w:styleId="20">
    <w:name w:val="annotation reference"/>
    <w:basedOn w:val="19"/>
    <w:semiHidden/>
    <w:unhideWhenUsed/>
    <w:qFormat/>
    <w:uiPriority w:val="99"/>
    <w:rPr>
      <w:sz w:val="21"/>
      <w:szCs w:val="21"/>
    </w:rPr>
  </w:style>
  <w:style w:type="character" w:customStyle="1" w:styleId="21">
    <w:name w:val="标题 1 Char"/>
    <w:basedOn w:val="19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2">
    <w:name w:val="标题 2 Char"/>
    <w:basedOn w:val="19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3">
    <w:name w:val="标题 3 Char"/>
    <w:basedOn w:val="19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4">
    <w:name w:val="标题 4 Char"/>
    <w:basedOn w:val="19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5">
    <w:name w:val="标题 5 Char"/>
    <w:basedOn w:val="19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6">
    <w:name w:val="标题 6 Char"/>
    <w:basedOn w:val="19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7">
    <w:name w:val="标题 7 Char"/>
    <w:basedOn w:val="19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8 Char"/>
    <w:basedOn w:val="19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9 Char"/>
    <w:basedOn w:val="19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Char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1">
    <w:name w:val="副标题 Char"/>
    <w:basedOn w:val="19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2">
    <w:name w:val="Quote"/>
    <w:basedOn w:val="1"/>
    <w:next w:val="1"/>
    <w:link w:val="33"/>
    <w:qFormat/>
    <w:uiPriority w:val="2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3">
    <w:name w:val="引用 Char"/>
    <w:basedOn w:val="19"/>
    <w:link w:val="32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4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customStyle="1" w:styleId="35">
    <w:name w:val="Intense Emphasis"/>
    <w:basedOn w:val="19"/>
    <w:qFormat/>
    <w:uiPriority w:val="21"/>
    <w:rPr>
      <w:i/>
      <w:iCs/>
      <w:color w:val="2F5597" w:themeColor="accent1" w:themeShade="BF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2F5597" w:themeColor="accent1" w:themeShade="BF"/>
      <w:sz w:val="22"/>
      <w:szCs w:val="24"/>
      <w14:ligatures w14:val="standardContextual"/>
    </w:rPr>
  </w:style>
  <w:style w:type="character" w:customStyle="1" w:styleId="37">
    <w:name w:val="明显引用 Char"/>
    <w:basedOn w:val="19"/>
    <w:link w:val="36"/>
    <w:qFormat/>
    <w:uiPriority w:val="30"/>
    <w:rPr>
      <w:i/>
      <w:iCs/>
      <w:color w:val="2F5597" w:themeColor="accent1" w:themeShade="BF"/>
    </w:rPr>
  </w:style>
  <w:style w:type="character" w:customStyle="1" w:styleId="38">
    <w:name w:val="Intense Reference"/>
    <w:basedOn w:val="19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9">
    <w:name w:val="页眉 Char"/>
    <w:basedOn w:val="19"/>
    <w:link w:val="13"/>
    <w:qFormat/>
    <w:uiPriority w:val="99"/>
    <w:rPr>
      <w:sz w:val="18"/>
      <w:szCs w:val="18"/>
    </w:rPr>
  </w:style>
  <w:style w:type="character" w:customStyle="1" w:styleId="40">
    <w:name w:val="页脚 Char"/>
    <w:basedOn w:val="19"/>
    <w:link w:val="12"/>
    <w:qFormat/>
    <w:uiPriority w:val="99"/>
    <w:rPr>
      <w:sz w:val="18"/>
      <w:szCs w:val="18"/>
    </w:rPr>
  </w:style>
  <w:style w:type="character" w:customStyle="1" w:styleId="41">
    <w:name w:val="批注文字 Char"/>
    <w:basedOn w:val="19"/>
    <w:link w:val="11"/>
    <w:qFormat/>
    <w:uiPriority w:val="99"/>
    <w:rPr>
      <w:sz w:val="21"/>
      <w:szCs w:val="22"/>
      <w14:ligatures w14:val="none"/>
    </w:rPr>
  </w:style>
  <w:style w:type="character" w:customStyle="1" w:styleId="42">
    <w:name w:val="批注主题 Char"/>
    <w:basedOn w:val="41"/>
    <w:link w:val="17"/>
    <w:semiHidden/>
    <w:qFormat/>
    <w:uiPriority w:val="99"/>
    <w:rPr>
      <w:b/>
      <w:bCs/>
      <w:sz w:val="21"/>
      <w:szCs w:val="22"/>
      <w14:ligatures w14:val="none"/>
    </w:rPr>
  </w:style>
  <w:style w:type="character" w:customStyle="1" w:styleId="43">
    <w:name w:val="HTML 预设格式 Char"/>
    <w:basedOn w:val="19"/>
    <w:link w:val="15"/>
    <w:semiHidden/>
    <w:qFormat/>
    <w:uiPriority w:val="99"/>
    <w:rPr>
      <w:rFonts w:ascii="Courier New" w:hAnsi="Courier New" w:cs="Courier New"/>
      <w:sz w:val="20"/>
      <w:szCs w:val="2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545</Words>
  <Characters>651</Characters>
  <Lines>7</Lines>
  <Paragraphs>2</Paragraphs>
  <TotalTime>0</TotalTime>
  <ScaleCrop>false</ScaleCrop>
  <LinksUpToDate>false</LinksUpToDate>
  <CharactersWithSpaces>660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2025-10-24T19:39:00Z</dcterms:created>
  <dc:creator>江涛 王</dc:creator>
  <cp:lastModifiedBy>gxxc</cp:lastModifiedBy>
  <dcterms:modified xsi:type="dcterms:W3CDTF">2025-12-25T10:34:16Z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eyJoZGlkIjoiYmZmYTFiOGYxMWRmNzkwZGU5ZGE1NDU3ZDQ1MzU5MWQifQ==</vt:lpwstr>
  </property>
  <property fmtid="{D5CDD505-2E9C-101B-9397-08002B2CF9AE}" pid="3" name="KSOProductBuildVer">
    <vt:lpwstr>2052-11.8.2.10624</vt:lpwstr>
  </property>
  <property fmtid="{D5CDD505-2E9C-101B-9397-08002B2CF9AE}" pid="4" name="ICV">
    <vt:lpwstr>A1089702137C489EB19F8EA23AF26D54_13</vt:lpwstr>
  </property>
</Properties>
</file>